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628CE" w14:textId="77777777" w:rsidR="0034628C" w:rsidRPr="0075360A" w:rsidRDefault="0034628C" w:rsidP="0034628C">
      <w:pPr>
        <w:pStyle w:val="af1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snapToGrid/>
          <w:sz w:val="24"/>
          <w:szCs w:val="24"/>
        </w:rPr>
      </w:pPr>
      <w:r w:rsidRPr="0075360A">
        <w:rPr>
          <w:rFonts w:ascii="Times New Roman" w:hAnsi="Times New Roman"/>
          <w:snapToGrid/>
          <w:sz w:val="24"/>
          <w:szCs w:val="24"/>
        </w:rPr>
        <w:t>Приложение № 1</w:t>
      </w:r>
    </w:p>
    <w:p w14:paraId="19786C49" w14:textId="726998BD" w:rsidR="0034628C" w:rsidRPr="0075360A" w:rsidRDefault="0034628C" w:rsidP="0034628C">
      <w:pPr>
        <w:pStyle w:val="af1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snapToGrid/>
          <w:sz w:val="24"/>
          <w:szCs w:val="24"/>
        </w:rPr>
      </w:pPr>
      <w:r w:rsidRPr="0075360A">
        <w:rPr>
          <w:rFonts w:ascii="Times New Roman" w:hAnsi="Times New Roman"/>
          <w:snapToGrid/>
          <w:sz w:val="24"/>
          <w:szCs w:val="24"/>
        </w:rPr>
        <w:t>к Договору № 4877/</w:t>
      </w:r>
      <w:r w:rsidR="0075360A" w:rsidRPr="0075360A">
        <w:rPr>
          <w:rFonts w:ascii="Times New Roman" w:hAnsi="Times New Roman"/>
          <w:snapToGrid/>
          <w:sz w:val="24"/>
          <w:szCs w:val="24"/>
        </w:rPr>
        <w:t>11</w:t>
      </w:r>
      <w:r w:rsidRPr="0075360A">
        <w:rPr>
          <w:rFonts w:ascii="Times New Roman" w:hAnsi="Times New Roman"/>
          <w:snapToGrid/>
          <w:sz w:val="24"/>
          <w:szCs w:val="24"/>
        </w:rPr>
        <w:t xml:space="preserve"> от ________._________. 202</w:t>
      </w:r>
      <w:r w:rsidR="0075360A" w:rsidRPr="0075360A">
        <w:rPr>
          <w:rFonts w:ascii="Times New Roman" w:hAnsi="Times New Roman"/>
          <w:snapToGrid/>
          <w:sz w:val="24"/>
          <w:szCs w:val="24"/>
        </w:rPr>
        <w:t>3</w:t>
      </w:r>
      <w:r w:rsidRPr="0075360A">
        <w:rPr>
          <w:rFonts w:ascii="Times New Roman" w:hAnsi="Times New Roman"/>
          <w:snapToGrid/>
          <w:sz w:val="24"/>
          <w:szCs w:val="24"/>
        </w:rPr>
        <w:t xml:space="preserve"> г. </w:t>
      </w:r>
    </w:p>
    <w:p w14:paraId="3BDEF354" w14:textId="77777777" w:rsidR="0034628C" w:rsidRPr="00C965F2" w:rsidRDefault="0034628C" w:rsidP="0034628C">
      <w:pPr>
        <w:pStyle w:val="af1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  <w:r w:rsidRPr="00C965F2">
        <w:rPr>
          <w:rFonts w:ascii="Times New Roman" w:hAnsi="Times New Roman"/>
          <w:b/>
          <w:snapToGrid/>
          <w:sz w:val="24"/>
          <w:szCs w:val="24"/>
        </w:rPr>
        <w:t xml:space="preserve"> </w:t>
      </w:r>
    </w:p>
    <w:p w14:paraId="206966E2" w14:textId="0E7B543F" w:rsidR="0034628C" w:rsidRDefault="0034628C" w:rsidP="0034628C">
      <w:pPr>
        <w:pStyle w:val="af1"/>
        <w:tabs>
          <w:tab w:val="left" w:pos="2580"/>
          <w:tab w:val="right" w:pos="9921"/>
        </w:tabs>
        <w:spacing w:before="0"/>
        <w:contextualSpacing/>
        <w:rPr>
          <w:rFonts w:ascii="Times New Roman" w:hAnsi="Times New Roman"/>
          <w:snapToGrid/>
          <w:sz w:val="24"/>
          <w:szCs w:val="24"/>
        </w:rPr>
      </w:pPr>
      <w:r w:rsidRPr="00C965F2">
        <w:rPr>
          <w:rFonts w:ascii="Times New Roman" w:hAnsi="Times New Roman"/>
          <w:snapToGrid/>
          <w:sz w:val="24"/>
          <w:szCs w:val="24"/>
        </w:rPr>
        <w:tab/>
        <w:t xml:space="preserve">  </w:t>
      </w:r>
    </w:p>
    <w:p w14:paraId="069CA7F9" w14:textId="77777777" w:rsidR="0034628C" w:rsidRPr="00C965F2" w:rsidRDefault="0034628C" w:rsidP="0034628C">
      <w:pPr>
        <w:pStyle w:val="af1"/>
        <w:tabs>
          <w:tab w:val="left" w:pos="2580"/>
          <w:tab w:val="right" w:pos="9921"/>
        </w:tabs>
        <w:spacing w:before="0"/>
        <w:contextualSpacing/>
        <w:rPr>
          <w:rFonts w:ascii="Times New Roman" w:hAnsi="Times New Roman"/>
          <w:snapToGrid/>
          <w:sz w:val="24"/>
          <w:szCs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375"/>
        <w:gridCol w:w="4939"/>
      </w:tblGrid>
      <w:tr w:rsidR="0034628C" w:rsidRPr="00C965F2" w14:paraId="67F2223B" w14:textId="77777777" w:rsidTr="004152F8">
        <w:trPr>
          <w:trHeight w:val="2097"/>
        </w:trPr>
        <w:tc>
          <w:tcPr>
            <w:tcW w:w="5245" w:type="dxa"/>
          </w:tcPr>
          <w:p w14:paraId="42E4B3F4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0A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СОГЛАСОВАНО</w:t>
            </w:r>
          </w:p>
          <w:p w14:paraId="5AD86FD4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 w14:paraId="3C471033" w14:textId="23C3ACC2" w:rsidR="0034628C" w:rsidRDefault="00874234" w:rsidP="004152F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 w14:paraId="0D455BDB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E1A68B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 __________</w:t>
            </w:r>
          </w:p>
          <w:p w14:paraId="43BEEEFF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4889DC" w14:textId="77777777" w:rsidR="0034628C" w:rsidRPr="00660A9B" w:rsidRDefault="0034628C" w:rsidP="004152F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5DD9531" w14:textId="77777777" w:rsidR="0034628C" w:rsidRPr="00660A9B" w:rsidRDefault="0034628C" w:rsidP="004152F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0B12B3A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A9B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14:paraId="57D43346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9B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02BFF128" w14:textId="77777777" w:rsidR="0034628C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9B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  <w:p w14:paraId="18932E27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E3E7F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9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_________________И.М. </w:t>
            </w:r>
            <w:proofErr w:type="spellStart"/>
            <w:r w:rsidRPr="00660A9B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  <w:p w14:paraId="7790850B" w14:textId="77777777" w:rsidR="0034628C" w:rsidRPr="00660A9B" w:rsidRDefault="0034628C" w:rsidP="004152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3F91C" w14:textId="77777777" w:rsidR="0034628C" w:rsidRDefault="0034628C" w:rsidP="00874234">
            <w:pPr>
              <w:contextualSpacing/>
              <w:jc w:val="center"/>
              <w:rPr>
                <w:b/>
              </w:rPr>
            </w:pPr>
          </w:p>
          <w:p w14:paraId="6B383FBD" w14:textId="77777777" w:rsidR="00874234" w:rsidRPr="00C965F2" w:rsidRDefault="00874234" w:rsidP="00874234">
            <w:pPr>
              <w:contextualSpacing/>
              <w:jc w:val="center"/>
              <w:rPr>
                <w:b/>
              </w:rPr>
            </w:pPr>
          </w:p>
        </w:tc>
      </w:tr>
    </w:tbl>
    <w:p w14:paraId="78385433" w14:textId="77777777" w:rsidR="00874234" w:rsidRDefault="00874234" w:rsidP="001673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05E26" w14:textId="77777777" w:rsidR="0034628C" w:rsidRDefault="0034628C" w:rsidP="001673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</w:p>
    <w:p w14:paraId="24C7458D" w14:textId="24032F1A" w:rsidR="00874234" w:rsidRDefault="001E17EB" w:rsidP="001673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881">
        <w:rPr>
          <w:rFonts w:ascii="Times New Roman" w:hAnsi="Times New Roman" w:cs="Times New Roman"/>
          <w:b/>
          <w:sz w:val="24"/>
          <w:szCs w:val="24"/>
        </w:rPr>
        <w:t>на разработку разделов проектной документации «Безопасность мореплавания» и «Средства навигационного оборудования» по объекту «</w:t>
      </w:r>
      <w:r w:rsidR="00CC5E95">
        <w:rPr>
          <w:rFonts w:ascii="Times New Roman" w:hAnsi="Times New Roman" w:cs="Times New Roman"/>
          <w:b/>
          <w:sz w:val="24"/>
          <w:szCs w:val="24"/>
        </w:rPr>
        <w:t>Западный транспортно-логистический узел</w:t>
      </w:r>
      <w:r w:rsidRPr="00D00881">
        <w:rPr>
          <w:rFonts w:ascii="Times New Roman" w:hAnsi="Times New Roman" w:cs="Times New Roman"/>
          <w:b/>
          <w:sz w:val="24"/>
          <w:szCs w:val="24"/>
        </w:rPr>
        <w:t>»</w:t>
      </w:r>
    </w:p>
    <w:p w14:paraId="7B4E2431" w14:textId="77777777" w:rsidR="00F74945" w:rsidRDefault="00F74945" w:rsidP="00F749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675"/>
        <w:gridCol w:w="2835"/>
        <w:gridCol w:w="5954"/>
      </w:tblGrid>
      <w:tr w:rsidR="00F74945" w14:paraId="4BAD1859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65B5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BEF9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37CA" w14:textId="34929DF5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Договор, заключенный между Заказчиком и Подрядчиком</w:t>
            </w:r>
            <w:r w:rsidR="000D0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4945" w14:paraId="241E9E16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F19D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E15C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заказчик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71A6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Русатом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Карго».</w:t>
            </w:r>
          </w:p>
        </w:tc>
      </w:tr>
      <w:tr w:rsidR="00F74945" w14:paraId="3E67C0B2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6EFC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8DD8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5834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</w:tc>
      </w:tr>
      <w:tr w:rsidR="00F74945" w14:paraId="2D6E517C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4588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3638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(Объект)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C495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«Западный транспортно-логистический узел»</w:t>
            </w:r>
          </w:p>
        </w:tc>
      </w:tr>
      <w:tr w:rsidR="00F74945" w14:paraId="69A6DCDB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D537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90A6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Месторасположение объекта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F8E8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Мурманская область,  сельское поселение Междуречье Кольского района,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Белокаменка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Ретинское</w:t>
            </w:r>
            <w:proofErr w:type="spellEnd"/>
          </w:p>
        </w:tc>
      </w:tr>
      <w:tr w:rsidR="00F74945" w14:paraId="12E868C8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B213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47B1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FB09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строительство</w:t>
            </w:r>
          </w:p>
        </w:tc>
      </w:tr>
      <w:tr w:rsidR="00F74945" w14:paraId="59AD6F61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7255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1120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  <w:p w14:paraId="13F8E859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(проектная организация)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4B23" w14:textId="77777777" w:rsidR="00F74945" w:rsidRPr="00F74945" w:rsidRDefault="00F749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4945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Определяется по итогам закупочной процедуры</w:t>
            </w:r>
          </w:p>
        </w:tc>
      </w:tr>
      <w:tr w:rsidR="00F74945" w14:paraId="59A152D6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CB21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AA99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разрабатываемой документации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81ED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документация.</w:t>
            </w:r>
          </w:p>
        </w:tc>
      </w:tr>
      <w:tr w:rsidR="00F74945" w14:paraId="4AB0FBC0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D1C2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B62C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A6C0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прилагаемым к договору графиком выполнения работ (календарный план).</w:t>
            </w:r>
          </w:p>
        </w:tc>
      </w:tr>
      <w:tr w:rsidR="00F74945" w14:paraId="7E311838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D317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C0C5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капитального строительства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0DE0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Перевалка контейнеров;</w:t>
            </w:r>
          </w:p>
          <w:p w14:paraId="557D1FB8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Принадлежность к объектам транспортной инфраструктуры и к другим объектам, функционально-технические особенности, которых влияют на их безопасность - принадлежит;</w:t>
            </w:r>
          </w:p>
          <w:p w14:paraId="3C36AB6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опасных природных процессов и явлений и техногенных воздействий на территории: определить по результатам инженерных изысканий;</w:t>
            </w:r>
          </w:p>
          <w:p w14:paraId="185AC59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Принадлежность к опасным производственным объектам (уточняется при проектировании);</w:t>
            </w:r>
          </w:p>
          <w:p w14:paraId="6D5C1C82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и взрывопожарная опасность: определяется проектными решениями в технологической части проекта;</w:t>
            </w:r>
          </w:p>
          <w:p w14:paraId="01BE8677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помещений с постоянным пребыванием людей определяется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проектировании;</w:t>
            </w:r>
          </w:p>
          <w:p w14:paraId="0539319D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ответственности: определить при проектировании с учетом действующего законодательства.</w:t>
            </w:r>
          </w:p>
        </w:tc>
      </w:tr>
      <w:tr w:rsidR="00F74945" w14:paraId="77A9D13A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86B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83C8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 предприятия, режим эксплуатации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715E" w14:textId="77777777" w:rsidR="00F74945" w:rsidRDefault="00F74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Круглогодичный, круглосуточный.</w:t>
            </w:r>
          </w:p>
        </w:tc>
      </w:tr>
      <w:tr w:rsidR="00F74945" w14:paraId="22E9BFC4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931C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6C1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этапов строительства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C54B" w14:textId="77777777" w:rsidR="00F74945" w:rsidRDefault="00F74945">
            <w:pPr>
              <w:pStyle w:val="a7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Определяется при разработке проектной документации.</w:t>
            </w:r>
          </w:p>
        </w:tc>
      </w:tr>
      <w:tr w:rsidR="00F74945" w14:paraId="1346545A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CCB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7999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Особые условия проектирования и строительства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B42E" w14:textId="77777777" w:rsidR="00F74945" w:rsidRDefault="00F74945" w:rsidP="00F74945">
            <w:pPr>
              <w:numPr>
                <w:ilvl w:val="1"/>
                <w:numId w:val="33"/>
              </w:numPr>
              <w:suppressAutoHyphens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Условия субарктической зоны европейской части РФ;</w:t>
            </w:r>
          </w:p>
          <w:p w14:paraId="70041B21" w14:textId="77777777" w:rsidR="00F74945" w:rsidRDefault="00F74945" w:rsidP="00F74945">
            <w:pPr>
              <w:numPr>
                <w:ilvl w:val="1"/>
                <w:numId w:val="33"/>
              </w:numPr>
              <w:suppressAutoHyphens/>
              <w:ind w:left="52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Сейсмичность:</w:t>
            </w:r>
          </w:p>
          <w:p w14:paraId="6891B9B2" w14:textId="77777777" w:rsidR="00F74945" w:rsidRDefault="00F74945" w:rsidP="00F74945">
            <w:pPr>
              <w:numPr>
                <w:ilvl w:val="2"/>
                <w:numId w:val="33"/>
              </w:numPr>
              <w:suppressAutoHyphens/>
              <w:ind w:left="52"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Принимается в соответствии с СП 14.13330.2018;</w:t>
            </w:r>
          </w:p>
          <w:p w14:paraId="398DD37B" w14:textId="77777777" w:rsidR="00F74945" w:rsidRDefault="00F74945" w:rsidP="00F74945">
            <w:pPr>
              <w:numPr>
                <w:ilvl w:val="2"/>
                <w:numId w:val="33"/>
              </w:numPr>
              <w:suppressAutoHyphens/>
              <w:ind w:left="52"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Расчетную сейсмичность площадки строительства следует устанавливать по результатам сейсмического микрорайонирования (СМР), выполняемого в составе инженерных изысканий, с учетом сейсмотектонических, грунтовых и гидрогеологических условий.</w:t>
            </w:r>
          </w:p>
          <w:p w14:paraId="10F6EC27" w14:textId="77777777" w:rsidR="00F74945" w:rsidRDefault="00F74945" w:rsidP="00F74945">
            <w:pPr>
              <w:numPr>
                <w:ilvl w:val="1"/>
                <w:numId w:val="33"/>
              </w:numPr>
              <w:ind w:left="52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Соленость воды акватории: высокая соленость воды. Значение солености определить в составе инженерных изысканий;</w:t>
            </w:r>
          </w:p>
          <w:p w14:paraId="6BCE5F2B" w14:textId="77777777" w:rsidR="00F74945" w:rsidRDefault="00F74945" w:rsidP="00F74945">
            <w:pPr>
              <w:numPr>
                <w:ilvl w:val="1"/>
                <w:numId w:val="33"/>
              </w:numPr>
              <w:suppressAutoHyphens/>
              <w:ind w:left="52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Колебания уровня воды:</w:t>
            </w:r>
          </w:p>
          <w:p w14:paraId="6725EE01" w14:textId="77777777" w:rsidR="00F74945" w:rsidRDefault="00F74945" w:rsidP="00F74945">
            <w:pPr>
              <w:numPr>
                <w:ilvl w:val="2"/>
                <w:numId w:val="33"/>
              </w:numPr>
              <w:suppressAutoHyphens/>
              <w:ind w:left="52"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Большая амплитуда колебаний, обусловленных главным образом приливно-отливными явлениями, и высокая частота смены высокой и малой воды;</w:t>
            </w:r>
          </w:p>
          <w:p w14:paraId="35288018" w14:textId="77777777" w:rsidR="00F74945" w:rsidRDefault="00F74945" w:rsidP="00F74945">
            <w:pPr>
              <w:numPr>
                <w:ilvl w:val="2"/>
                <w:numId w:val="33"/>
              </w:numPr>
              <w:suppressAutoHyphens/>
              <w:ind w:left="52"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Параметры колебаний уровня воды принять на основе результатов инженерных изысканий.</w:t>
            </w:r>
          </w:p>
          <w:p w14:paraId="6DC6E97D" w14:textId="77777777" w:rsidR="00F74945" w:rsidRDefault="00F74945" w:rsidP="00F74945">
            <w:pPr>
              <w:numPr>
                <w:ilvl w:val="1"/>
                <w:numId w:val="33"/>
              </w:numPr>
              <w:suppressAutoHyphens/>
              <w:ind w:left="52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Геологическое строение грунтов основания: </w:t>
            </w:r>
          </w:p>
          <w:p w14:paraId="02F85946" w14:textId="77777777" w:rsidR="00F74945" w:rsidRDefault="00F74945" w:rsidP="00F74945">
            <w:pPr>
              <w:numPr>
                <w:ilvl w:val="0"/>
                <w:numId w:val="34"/>
              </w:numPr>
              <w:tabs>
                <w:tab w:val="left" w:pos="903"/>
              </w:tabs>
              <w:suppressAutoHyphens/>
              <w:ind w:left="52"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Характерное для прибрежной территории Кольского залива геологическое строение основания – скальные породы, перекрытые слоем дисперсных грунтов, с большим уклоном в сторону акватории, а также наличие валунно-галечниковых грунтов.</w:t>
            </w:r>
          </w:p>
          <w:p w14:paraId="0C858576" w14:textId="77777777" w:rsidR="00F74945" w:rsidRDefault="00F74945" w:rsidP="00F74945">
            <w:pPr>
              <w:numPr>
                <w:ilvl w:val="1"/>
                <w:numId w:val="33"/>
              </w:numPr>
              <w:ind w:left="52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 данные по району строительства уточнить по результатам инженерных изысканий;</w:t>
            </w:r>
          </w:p>
          <w:p w14:paraId="795DA7BA" w14:textId="77777777" w:rsidR="00F74945" w:rsidRDefault="00F74945" w:rsidP="00F74945">
            <w:pPr>
              <w:numPr>
                <w:ilvl w:val="1"/>
                <w:numId w:val="33"/>
              </w:numPr>
              <w:suppressAutoHyphens/>
              <w:ind w:left="52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Вся территория проектирования расположена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водоохранной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зоне и прибрежной защитной полосе водного объекта Кольский залив Баренцева моря.</w:t>
            </w:r>
          </w:p>
          <w:p w14:paraId="18F893AF" w14:textId="77777777" w:rsidR="00F74945" w:rsidRDefault="00F74945">
            <w:pPr>
              <w:pStyle w:val="a7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соответствии с СП 131.13330.2020 «Строительная климатология» (Актуализированная редакция СНиП 23-01-99) район строительства относится к климатическому району для строительства II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</w:tc>
      </w:tr>
      <w:tr w:rsidR="00F74945" w14:paraId="4A4DAD71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7E1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CBA6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объектов</w:t>
            </w:r>
          </w:p>
          <w:p w14:paraId="181F48AB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85CB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Причалы для перевалки контейнеров;</w:t>
            </w:r>
          </w:p>
          <w:p w14:paraId="6AA05CA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Причал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портофлота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параметры причала определить проектом;</w:t>
            </w:r>
          </w:p>
          <w:p w14:paraId="250FCE2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Внешние подходы к операционной акватории терминала;</w:t>
            </w:r>
          </w:p>
          <w:p w14:paraId="6A63E02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Операционная акватория терминала и зоны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маневрирования с разворотным местом.</w:t>
            </w:r>
          </w:p>
          <w:p w14:paraId="149BA817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и перспективные расчетные суда: СК-6000, СК-6000 (ледовый класс), СК-11700.</w:t>
            </w:r>
          </w:p>
          <w:p w14:paraId="328C455C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Окончательный состав объектов, в том числе выделение объектов федеральной собственности, определяется при проектировании и согласовывается с Заказчиком.</w:t>
            </w:r>
          </w:p>
        </w:tc>
      </w:tr>
      <w:tr w:rsidR="00F74945" w14:paraId="22152863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ABC8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E86E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работ по договору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967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условий и факторов, определяющих условия безопасного плавания судов в рассматриваемом районе, в том числе:</w:t>
            </w:r>
          </w:p>
          <w:p w14:paraId="23FEDFD2" w14:textId="77777777" w:rsidR="00F74945" w:rsidRDefault="00F74945" w:rsidP="00F74945">
            <w:pPr>
              <w:numPr>
                <w:ilvl w:val="0"/>
                <w:numId w:val="35"/>
              </w:numPr>
              <w:suppressAutoHyphens/>
              <w:ind w:left="45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гидрометеорологические факторы, в том числе влияющие на использование СНО;</w:t>
            </w:r>
          </w:p>
          <w:p w14:paraId="03DD428D" w14:textId="77777777" w:rsidR="00F74945" w:rsidRDefault="00F74945" w:rsidP="00F74945">
            <w:pPr>
              <w:numPr>
                <w:ilvl w:val="0"/>
                <w:numId w:val="35"/>
              </w:numPr>
              <w:suppressAutoHyphens/>
              <w:ind w:left="45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навигационно-гидрографическая обстановка района, включая навигационно-гидрографическую изученность района и наличие морских навигационных карт и пособий.</w:t>
            </w:r>
          </w:p>
          <w:p w14:paraId="5A4EC4BB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Характеристика и анализ действующей системы установленных путей движения судов (УПДС);</w:t>
            </w:r>
          </w:p>
          <w:p w14:paraId="1ADE2BE7" w14:textId="77777777" w:rsidR="00F74945" w:rsidRDefault="00F74945" w:rsidP="00F74945">
            <w:pPr>
              <w:numPr>
                <w:ilvl w:val="1"/>
                <w:numId w:val="32"/>
              </w:numPr>
              <w:tabs>
                <w:tab w:val="num" w:pos="360"/>
              </w:tabs>
              <w:suppressAutoHyphens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Режим плавания;</w:t>
            </w:r>
          </w:p>
          <w:p w14:paraId="5846FAF5" w14:textId="77777777" w:rsidR="00F74945" w:rsidRDefault="00F74945" w:rsidP="00F74945">
            <w:pPr>
              <w:numPr>
                <w:ilvl w:val="1"/>
                <w:numId w:val="32"/>
              </w:numPr>
              <w:tabs>
                <w:tab w:val="num" w:pos="360"/>
              </w:tabs>
              <w:suppressAutoHyphens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действующего навигационного оборудования, в том числе:</w:t>
            </w:r>
          </w:p>
          <w:p w14:paraId="36167221" w14:textId="77777777" w:rsidR="00F74945" w:rsidRDefault="00F74945" w:rsidP="00F74945">
            <w:pPr>
              <w:numPr>
                <w:ilvl w:val="0"/>
                <w:numId w:val="36"/>
              </w:numPr>
              <w:suppressAutoHyphens/>
              <w:ind w:left="45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визуальные и радиотехнические СНО;</w:t>
            </w:r>
          </w:p>
          <w:p w14:paraId="16252FC3" w14:textId="77777777" w:rsidR="00F74945" w:rsidRDefault="00F74945" w:rsidP="00F74945">
            <w:pPr>
              <w:numPr>
                <w:ilvl w:val="0"/>
                <w:numId w:val="36"/>
              </w:numPr>
              <w:suppressAutoHyphens/>
              <w:ind w:left="45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точности определения места судна в системе УПДС;</w:t>
            </w:r>
          </w:p>
          <w:p w14:paraId="2BA6022A" w14:textId="77777777" w:rsidR="00F74945" w:rsidRDefault="00F74945" w:rsidP="00F74945">
            <w:pPr>
              <w:numPr>
                <w:ilvl w:val="0"/>
                <w:numId w:val="36"/>
              </w:numPr>
              <w:suppressAutoHyphens/>
              <w:ind w:left="45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расчет ожидаемой точности определения места судна на УПДС при использовании различных видов СНО;</w:t>
            </w:r>
          </w:p>
          <w:p w14:paraId="1AADD330" w14:textId="77777777" w:rsidR="00F74945" w:rsidRDefault="00F74945" w:rsidP="00F74945">
            <w:pPr>
              <w:numPr>
                <w:ilvl w:val="0"/>
                <w:numId w:val="36"/>
              </w:numPr>
              <w:suppressAutoHyphens/>
              <w:ind w:left="459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выявление участков пути, на которых не обеспечивается требуемая точность определения места судна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действующими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СНО;</w:t>
            </w:r>
          </w:p>
          <w:p w14:paraId="198B8852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проектных решений по размещению якорных стоянок;</w:t>
            </w:r>
          </w:p>
          <w:p w14:paraId="18F967E4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мероприятий по выполнению грузовых и швартовных операций с учетом ветровых, волновых и ледовых условий.</w:t>
            </w:r>
          </w:p>
          <w:p w14:paraId="33134ED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проектных решений по составу и положению проектируемых к строительству береговых и плавучих СНО;</w:t>
            </w:r>
          </w:p>
          <w:p w14:paraId="06C4BD71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схемы навигационного оборудования;</w:t>
            </w:r>
          </w:p>
          <w:p w14:paraId="44A44D0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спецификаций на средства навигационного оборудования (ТСХО);</w:t>
            </w:r>
          </w:p>
          <w:p w14:paraId="6E2BC920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ориентировочной стоимости технологического оборудования СНО;</w:t>
            </w:r>
          </w:p>
          <w:p w14:paraId="20CFCAA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Международные и национальные требования к системе обеспечения безопасности мореплавания (СОБМ);</w:t>
            </w:r>
          </w:p>
          <w:p w14:paraId="5E9F715E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pacing w:before="12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фактического состояния действующей системы обеспечения безопасности мореплавания (СОБМ) в районе строительства, в том числе:</w:t>
            </w:r>
          </w:p>
          <w:p w14:paraId="25CCFC2A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установленных путей движения судов (УПДС);</w:t>
            </w:r>
          </w:p>
          <w:p w14:paraId="43F2A901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средств навигационного оборудования (СНО);</w:t>
            </w:r>
          </w:p>
          <w:p w14:paraId="4F4A6BB8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высокоточной навигации (контрольно-корректирующие станция МДПС ГНСС).</w:t>
            </w:r>
          </w:p>
          <w:p w14:paraId="7513624F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управления движением судов (СУДС);</w:t>
            </w:r>
          </w:p>
          <w:p w14:paraId="03AF6332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службы контроля судоходства и управления судоходством (СКУС);</w:t>
            </w:r>
          </w:p>
          <w:p w14:paraId="7A7D1741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автоматических информационных систем (АИС);</w:t>
            </w:r>
          </w:p>
          <w:p w14:paraId="2BF20B41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морской радиосвязи;</w:t>
            </w:r>
          </w:p>
          <w:p w14:paraId="7FA69327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глобальной морской системы связи при бедствии и для обеспечения безопасности (ГМССБ);</w:t>
            </w:r>
          </w:p>
          <w:p w14:paraId="34683781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плавания и других нормативно-правовых документов, регулирующих мореплавания на подходах и акватории района строительства;</w:t>
            </w:r>
          </w:p>
          <w:p w14:paraId="1D261EEA" w14:textId="77777777" w:rsidR="00F74945" w:rsidRDefault="00F74945" w:rsidP="00F74945">
            <w:pPr>
              <w:numPr>
                <w:ilvl w:val="0"/>
                <w:numId w:val="37"/>
              </w:numPr>
              <w:ind w:left="45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ледокольное, лоцманское, буксирное, и др. обеспечение.</w:t>
            </w:r>
          </w:p>
          <w:p w14:paraId="5A7CC2A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Выполнить анализ судов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портофлота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порта Мурманск на предмет  их достаточности и соответствия расчетным характеристикам для проведения маневровых операций на акватории Терминала. Определить оптимальное количество  и состав ПФ требуемого для работы терминала. Оценить и дать рекомендации Заказчику по  типам и составу собственных судов ПФ базирующихся на причале терминала; </w:t>
            </w:r>
          </w:p>
          <w:p w14:paraId="7F459EF1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требований и подготовка рекомендаций:</w:t>
            </w:r>
          </w:p>
          <w:p w14:paraId="2CEF8EEB" w14:textId="77777777" w:rsidR="00F74945" w:rsidRDefault="00F74945" w:rsidP="00F74945">
            <w:pPr>
              <w:pStyle w:val="a7"/>
              <w:numPr>
                <w:ilvl w:val="0"/>
                <w:numId w:val="38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 ледовому классу транспортных судов и по составу обеспечивающего флота;</w:t>
            </w:r>
          </w:p>
          <w:p w14:paraId="7D4AA183" w14:textId="77777777" w:rsidR="00F74945" w:rsidRDefault="00F74945" w:rsidP="00F74945">
            <w:pPr>
              <w:pStyle w:val="a7"/>
              <w:numPr>
                <w:ilvl w:val="0"/>
                <w:numId w:val="38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выполнения грузовых и швартовных операций с учетом ветровых, волновых и ледовых условий;</w:t>
            </w:r>
          </w:p>
          <w:p w14:paraId="33231E1E" w14:textId="77777777" w:rsidR="00F74945" w:rsidRDefault="00F74945" w:rsidP="00F74945">
            <w:pPr>
              <w:pStyle w:val="a7"/>
              <w:numPr>
                <w:ilvl w:val="0"/>
                <w:numId w:val="38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применению системы СУДС/СКУС;</w:t>
            </w:r>
          </w:p>
          <w:p w14:paraId="654744BB" w14:textId="77777777" w:rsidR="00F74945" w:rsidRDefault="00F74945" w:rsidP="00F74945">
            <w:pPr>
              <w:pStyle w:val="a7"/>
              <w:numPr>
                <w:ilvl w:val="0"/>
                <w:numId w:val="38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проработок по вариантам 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выбора оптимальных проектных решений систем установленных путей движения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судов, размещения якорных стоянок, СНО, СУДС/СКУС, лоцманского обслуживания. Оптимальные решения согласовать с капитаном порта, ФГУП 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Росморпорт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»;</w:t>
            </w:r>
          </w:p>
          <w:p w14:paraId="7A249FFC" w14:textId="77777777" w:rsidR="00F74945" w:rsidRDefault="00F74945" w:rsidP="00F74945">
            <w:pPr>
              <w:pStyle w:val="a7"/>
              <w:numPr>
                <w:ilvl w:val="0"/>
                <w:numId w:val="38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основании решений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предпроектных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проработок, выполненных в соответствии с подпунктом 7.4, разработать соответствующие подразделы раздела «Безопасность мореплавания»</w:t>
            </w:r>
          </w:p>
          <w:p w14:paraId="6A1A6F85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Предложения (при необходимости) по модернизации и дополнению СОБМ в рассматриваемом районе с учетом строительства Объектов;</w:t>
            </w:r>
          </w:p>
          <w:p w14:paraId="13352D97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Предложения (при необходимости) по расширению зоны действия СУДС Кольского залива 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учетом строительства Объектов. При этом должны быть обеспечены мероприятия по защите информации от несанкционированного доступа к СУДС и ГМССБ согласно требованиям ФСТЭК;</w:t>
            </w:r>
          </w:p>
          <w:p w14:paraId="7A22BF6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Общие схемы движения расчетных судов, включая ледокольное, лоцманское, и буксирное обеспечение.</w:t>
            </w:r>
          </w:p>
        </w:tc>
      </w:tr>
      <w:tr w:rsidR="00F74945" w14:paraId="4BEDADD4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1557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66FF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проектной документации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2DE9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Проектные решения должны соответствовать требованиям законодательства РФ, действующих нормативных документов РФ, включенных в «Перечень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утвержденный Постановлением Правительства РФ от 04.07.2020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№ 985;</w:t>
            </w:r>
            <w:proofErr w:type="gramEnd"/>
          </w:p>
          <w:p w14:paraId="77182559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Градостроительному Кодексу РФ;</w:t>
            </w:r>
          </w:p>
          <w:p w14:paraId="745DC22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Проектную документацию разработать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16.02.08 № 87.</w:t>
            </w:r>
          </w:p>
        </w:tc>
      </w:tr>
      <w:tr w:rsidR="00F74945" w14:paraId="08D427BE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441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E470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7C38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Разделы проектной документации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мореплавания» и «Средства навигационного оборудования»;</w:t>
            </w:r>
          </w:p>
          <w:p w14:paraId="0C0460E4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Согласование документации капитаном порта, ФГУП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Росморпорт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», Северным флотом, Администрацией морских портов Западной Арктики.</w:t>
            </w:r>
          </w:p>
          <w:p w14:paraId="1F05B7B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Ведомости объемов работ;</w:t>
            </w:r>
          </w:p>
          <w:p w14:paraId="39659364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Сметная документация.</w:t>
            </w:r>
          </w:p>
        </w:tc>
      </w:tr>
      <w:tr w:rsidR="00F74945" w14:paraId="65934DDC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148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05E8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6B74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Материалы изысканий: </w:t>
            </w:r>
          </w:p>
          <w:p w14:paraId="1565F046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инженерно-гидрографические;</w:t>
            </w:r>
          </w:p>
          <w:p w14:paraId="02BF6A93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инженерно-геологические;</w:t>
            </w:r>
          </w:p>
          <w:p w14:paraId="04684546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инженерно-гидрометеорологические изыскания.</w:t>
            </w:r>
          </w:p>
          <w:p w14:paraId="2F3646EE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Предварительная схема генерального плана (подлежит доработке в процессе проектных работ);</w:t>
            </w:r>
          </w:p>
          <w:p w14:paraId="504BE148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Типоразмеры основных расчетных  грузовых судов;</w:t>
            </w:r>
          </w:p>
          <w:p w14:paraId="0A0E6708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Дополнительная информация предоставляется по письменному запросу Подрядчика (при наличии информации).</w:t>
            </w:r>
          </w:p>
        </w:tc>
      </w:tr>
      <w:tr w:rsidR="00F74945" w14:paraId="0F6BC1D3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45A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5BF5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требования к разработке документации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A8FB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Документацию разработать в соответствии с действующим законодательством РФ,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.:</w:t>
            </w:r>
          </w:p>
          <w:p w14:paraId="2910A35D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ФЗ №190 от 29.12.2004г. «Градостроительный кодекс РФ»;</w:t>
            </w:r>
          </w:p>
          <w:p w14:paraId="7E57FC20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Минрегиона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РФ от 30.12.2009г. №624 «Об утверждении Перечня видов работ по инженерным изысканиям, по подготовке проектной документации, по строительству,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строительства»;</w:t>
            </w:r>
          </w:p>
          <w:p w14:paraId="1070538F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21.101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2020 СПДС «Основные требования к проектной и рабочей документации»;</w:t>
            </w:r>
          </w:p>
          <w:p w14:paraId="40425936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 116.13330.2012 «Инженерная защита территории, зданий и сооружений от опасных геологических процессов»;</w:t>
            </w:r>
          </w:p>
          <w:p w14:paraId="4C65324D" w14:textId="77777777" w:rsidR="00F74945" w:rsidRDefault="00F74945" w:rsidP="00F74945">
            <w:pPr>
              <w:pStyle w:val="a7"/>
              <w:numPr>
                <w:ilvl w:val="0"/>
                <w:numId w:val="39"/>
              </w:numPr>
              <w:suppressAutoHyphens/>
              <w:ind w:left="459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Иными требованиями действующего законодательства и нормативной документации.</w:t>
            </w:r>
          </w:p>
          <w:p w14:paraId="61478AF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составе разрабатываемого раздела документации следует предоставить Перечень основных нормативных документов, которыми руководствовались при его разработке.</w:t>
            </w:r>
          </w:p>
          <w:p w14:paraId="10AAFB27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соответствующих разделах ПД привести спецификации на оборудование (заказные спецификации), опросные листы для заказа типового оборудования.</w:t>
            </w:r>
          </w:p>
          <w:p w14:paraId="0A71BD58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ПСД выполнить в соответствии с требованиями нормативных документов, действующих на территории РФ и локальными нормативными документами в объеме необходимом для получения положительного заключения ФАУ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Главгосэкспертиза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России».</w:t>
            </w:r>
          </w:p>
          <w:p w14:paraId="487998F5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случае необходимости разработать и согласовать специальные технические условия.</w:t>
            </w:r>
          </w:p>
          <w:p w14:paraId="7BEDCD7C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Оборудование и материалы, требующие детального внесения в проектную документацию (с указанием производителя и характеристик), должны быть согласованы с Заказчиком, решение принимается на основании вариантного технико-экономического анализа, подготовленного Подрядчиком.</w:t>
            </w:r>
          </w:p>
          <w:p w14:paraId="6CF1101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Обеспечить максимальную унификацию применяемых конструктивных элементов, элементов конструкций, архитектурных деталей, заполнений и оборудования зданий и сооружений: минимальное возможное количество типов и размеров.</w:t>
            </w:r>
          </w:p>
          <w:p w14:paraId="77045BB0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унифицировать инженерно-техническое оборудование при создании инфраструктуры объекта.</w:t>
            </w:r>
          </w:p>
          <w:p w14:paraId="7D3E547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Избегать технических решений и материалов, а также использование оборудования,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строительного не имеющего аналогов,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т.е. требующего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привлечения единственного поставщика материалов/услуг. В случае невозможности – обосновать и согласовать с Заказчиком.</w:t>
            </w:r>
          </w:p>
          <w:p w14:paraId="5B3B37DD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Подрядчик предоставляет Заказчику исходные данные и графические материалы для составления запросов на получение технических условий от уполномоченных организаций.</w:t>
            </w:r>
          </w:p>
          <w:p w14:paraId="09DB030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Выделить в отдельные тома документацию по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объектам федеральной собственности.</w:t>
            </w:r>
          </w:p>
          <w:p w14:paraId="320F48E2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Необходимость разработки дополнительных работ определить в процессе проектирования и согласовать с Заказчиком.</w:t>
            </w:r>
          </w:p>
        </w:tc>
      </w:tr>
      <w:tr w:rsidR="00F74945" w14:paraId="12E832BB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636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060D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уровню секретности проектной документации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F1CC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 выполнении работы руководствоваться требованиями нормативно-правовых актов Российской Федерации в области защиты государственной тайны; </w:t>
            </w:r>
          </w:p>
          <w:p w14:paraId="448DE71E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Распространение материалов, разработанных в соответствии с настоящим Заданием и их публикацию осуществлять только с разрешения Заказчика.</w:t>
            </w:r>
          </w:p>
        </w:tc>
      </w:tr>
      <w:tr w:rsidR="00F74945" w14:paraId="30BB6DFB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8B0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6017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технологическим решениям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1869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Технические решения должны быть разработаны на основании действующих, на территории РФ строительных норм и правил, технических, экологических, санитарно-гигиенических, противопожарных и других норм, технических регламентов.</w:t>
            </w:r>
          </w:p>
        </w:tc>
      </w:tr>
      <w:tr w:rsidR="00F74945" w14:paraId="7DF2ECCB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726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32C9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Согласования и экспертизы документации в соответствии с требованиями законодательства РФ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3BE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Подрядчик участвует с Заказчиком в согласовании документации с органами исполнительной власти или подведомственными им учреждениями, уполномоченными на проведение государственной экспертизы, органами местного самоуправления и иными организациями; </w:t>
            </w:r>
          </w:p>
          <w:p w14:paraId="37FF387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Подрядчик проводит техническое сопровождение и консультацию Заказчика в части разрабатываемых Подрядчиком разделов.</w:t>
            </w:r>
          </w:p>
          <w:p w14:paraId="55265EF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Подрядчик обязан провести проектно-техническое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рыболовству, Государственной экологической экспертизы и ФАУ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Главгосэкспертиза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России».</w:t>
            </w:r>
            <w:proofErr w:type="gramEnd"/>
          </w:p>
          <w:p w14:paraId="3C15D78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Обеспечить инженерно-техническое сопровождение Заказчика при прохождении согласований 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с ФКУ «ОСК Северного Флота» и его представителями в лице Управления ПВО и авиации штаба Северного флота, Службы РЭБ штаба Северного флота, Гидрографической службы штаба Северного флота и Службы защиты государственной тайны Северного флота, и Управление навигации и океанографии Минобороны России).</w:t>
            </w:r>
            <w:proofErr w:type="gramEnd"/>
          </w:p>
          <w:p w14:paraId="2CF995C2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Согласовать проектную документацию с капитаном морского порта, ФГУП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Росморпорт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», Северным флотом, Администрацией морских портов Западной Арктики.</w:t>
            </w:r>
          </w:p>
        </w:tc>
      </w:tr>
      <w:tr w:rsidR="00F74945" w14:paraId="3119D4E1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639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49ED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E41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расчет сметной стоимости строительства ресурсным методом.</w:t>
            </w:r>
          </w:p>
          <w:p w14:paraId="6C13868D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Расчет сметной стоимости строительства должен быть выполнен для условий места строительства по нормам Российской Федерации, отраслевой и ведомственной нормативной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документации, включенным в федеральный реестр сметных нормативов актуальный на день подачи документации в ФАУ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Главгосэкспертиза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России»;</w:t>
            </w:r>
          </w:p>
          <w:p w14:paraId="441DC17D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Сметную документацию разработать в соответствии с требованиями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Российской Федерации от 4 августа 2020 № 421/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 том числе:</w:t>
            </w:r>
          </w:p>
          <w:p w14:paraId="4494B26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Сметная документация должна быть записана на электронный носитель в формате «ГРАНД-Смета» и отдельно в формате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Microsoft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Office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(*.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xlsx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14:paraId="178CD2A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Лимитированные и прочие затраты включить сводный сметный расчет, резерв средств на непредвиденные работы и затраты принять в соответствии с приказом Министерства строительства и жилищно-коммунального хозяйства Российской Федерации от 4 августа 2020 года № 421/пр.</w:t>
            </w:r>
          </w:p>
          <w:p w14:paraId="107A94E9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Разделить затраты по формам собственности создаваемых объектов – частные и передаваемые в собственность государства. Отдельно выделить затраты на объекты внешней инженерной инфраструктуры.</w:t>
            </w:r>
          </w:p>
          <w:p w14:paraId="49AF5741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Сметная стоимость строительства подлежит государственной экспертизе на предмет проверки достоверности определения сметной стоимости совместно с государственной экспертизой проектной документации и результатов инженерных изысканий в ФАУ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Главгосэкспертиза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России» в соответствии с Градостроительным кодексом Российской Федерации от 29.12.2004 № 190-ФЗ и Федеральным законом от 25.02.1999 № 39-ФЗ "Об инвестиционной деятельности в Российской Федерации, осуществляемой в форме капитальных вложений".</w:t>
            </w:r>
            <w:proofErr w:type="gramEnd"/>
          </w:p>
          <w:p w14:paraId="66B343A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 разработке учитывать:</w:t>
            </w:r>
          </w:p>
          <w:p w14:paraId="06388012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(утверждена приказом Минстроя России от 4 августа 2020  № 421/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);</w:t>
            </w:r>
          </w:p>
          <w:p w14:paraId="4095F0CE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 (утверждена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приказом Минстроя России от 19 июня 2020  №332/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);</w:t>
            </w:r>
          </w:p>
          <w:p w14:paraId="5343E680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Методика определения сметной стоимости строительства или реконструкции объектов капитального строительства, расположенных за пределами территории Российской Федерации (утверждена приказом Минстроя России от 15 июня 2020  №317/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);</w:t>
            </w:r>
          </w:p>
          <w:p w14:paraId="6EEEAA44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Методика определения затрат, связанных с осуществлением строительно-монтажных работ вахтовым методом (утверждена приказом Минстроя России от 15 июня 2020  №318/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);</w:t>
            </w:r>
          </w:p>
          <w:p w14:paraId="5506F6E0" w14:textId="77777777" w:rsidR="00F74945" w:rsidRDefault="00F74945">
            <w:pPr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Методика по разработке и применению нормативов труд-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ноустранимых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потерь и отходов материалов в строительстве (утверждена приказом Минстроя России от 16 января 2020  №15/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  <w:p w14:paraId="0739D91A" w14:textId="77777777" w:rsidR="00F74945" w:rsidRDefault="00F74945">
            <w:pPr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14A793C" w14:textId="77777777" w:rsidR="00F74945" w:rsidRDefault="00F74945">
            <w:pPr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получения соответствующего указания Заказчика расчет сметной стоимости строительства выполняется базисно-индексным методом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вместо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ресурсного.</w:t>
            </w:r>
          </w:p>
        </w:tc>
      </w:tr>
      <w:tr w:rsidR="00F74945" w14:paraId="04709152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CA9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0FD4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Субподрядные организации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0917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Подрядчик самостоятельно поручает выполнение отдельных проектно-изыскательских работ по договору субподряда с проектными организациями;</w:t>
            </w:r>
          </w:p>
          <w:p w14:paraId="1EB67F5D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Подрядчик несет полную ответственность за привлекаемые проектные организации по наличию необходимых лицензий, допусков и прочей разрешительной документации для выполнения поручаемых проектно-изыскательных работ;</w:t>
            </w:r>
          </w:p>
          <w:p w14:paraId="5A40DB9D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Подрядчик несет полную ответственность за качество и сроки выполнения проектно-изыскательских работ привлекаемых проектных организаций и не должен передавать документацию субподрядчика Заказчику без полной внутренней проверки на соответствие требованиям действующих в РФ нормативных документов и настоящего Задания;</w:t>
            </w:r>
          </w:p>
          <w:p w14:paraId="05360528" w14:textId="7C8F87ED" w:rsidR="00F74945" w:rsidRDefault="00F74945" w:rsidP="000D0579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Перечень субподрядных проектных организаций, привлекаемых </w:t>
            </w:r>
            <w:r w:rsidR="000D0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одрядчиком, в обязательном порядке согласовывается с Заказчиком.</w:t>
            </w:r>
          </w:p>
        </w:tc>
      </w:tr>
      <w:tr w:rsidR="00F74945" w14:paraId="312C9039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CB2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E48F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организации общей среды данных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315E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Разработать ИМ объекта с использованием BIM-технологий, который позволит добиться высокого качества ИМ этапа ПД с целью:</w:t>
            </w:r>
          </w:p>
          <w:p w14:paraId="0825C0E3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– обеспечения принятия эффективных и безопасных технических решений;</w:t>
            </w:r>
          </w:p>
          <w:p w14:paraId="2B6580DC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– точного подсчета материалов и оборудования;</w:t>
            </w:r>
          </w:p>
          <w:p w14:paraId="700D3AD5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– сокращения сроков строительно-монтажных работ.</w:t>
            </w:r>
          </w:p>
          <w:p w14:paraId="4696DF1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Основные задачи ИМ Объекта:</w:t>
            </w:r>
          </w:p>
          <w:p w14:paraId="24F92370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– точное отображение исходных данных и естественных условий строительства;</w:t>
            </w:r>
          </w:p>
          <w:p w14:paraId="04D14E5E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– исключение коллизий в процессе проектирования, обеспечение максимальной унификации и типизации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используемых материалов, оборудования;</w:t>
            </w:r>
          </w:p>
          <w:p w14:paraId="6CB814FB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– предоставление исходных данных для расчётов объемов работ,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. для последующего использования при определении сметной стоимости строительства;</w:t>
            </w:r>
          </w:p>
          <w:p w14:paraId="6D09E129" w14:textId="77777777" w:rsidR="00F74945" w:rsidRDefault="00F74945">
            <w:pPr>
              <w:pStyle w:val="a7"/>
              <w:suppressAutoHyphens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– согласование принимаемых решений с Заказчиком и заинтересованными сторонами,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. в рамках согласования ПД, прохождения общественных слушаний, прохождения экспертиз.</w:t>
            </w:r>
          </w:p>
          <w:p w14:paraId="2F0FC507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Style w:val="FontStyle35"/>
                <w:sz w:val="24"/>
              </w:rPr>
            </w:pPr>
            <w:r>
              <w:rPr>
                <w:rStyle w:val="FontStyle35"/>
                <w:iCs/>
                <w:sz w:val="24"/>
              </w:rPr>
              <w:t>В случае</w:t>
            </w:r>
            <w:proofErr w:type="gramStart"/>
            <w:r>
              <w:rPr>
                <w:rStyle w:val="FontStyle35"/>
                <w:iCs/>
                <w:sz w:val="24"/>
              </w:rPr>
              <w:t>,</w:t>
            </w:r>
            <w:proofErr w:type="gramEnd"/>
            <w:r>
              <w:rPr>
                <w:rStyle w:val="FontStyle35"/>
                <w:iCs/>
                <w:sz w:val="24"/>
              </w:rPr>
              <w:t xml:space="preserve"> если это будет требоваться в соответствии с </w:t>
            </w:r>
            <w:r>
              <w:rPr>
                <w:bCs/>
                <w:color w:val="000000"/>
              </w:rPr>
              <w:t>регламентирующими</w:t>
            </w:r>
            <w:r>
              <w:rPr>
                <w:rStyle w:val="FontStyle35"/>
                <w:iCs/>
                <w:sz w:val="24"/>
              </w:rPr>
              <w:t xml:space="preserve"> документами, информационная модель представляется Подрядчиком на рассмотрение в ФАУ «</w:t>
            </w:r>
            <w:proofErr w:type="spellStart"/>
            <w:r>
              <w:rPr>
                <w:rStyle w:val="FontStyle35"/>
                <w:iCs/>
                <w:sz w:val="24"/>
              </w:rPr>
              <w:t>Главгосэкспертиза</w:t>
            </w:r>
            <w:proofErr w:type="spellEnd"/>
            <w:r>
              <w:rPr>
                <w:rStyle w:val="FontStyle35"/>
                <w:iCs/>
                <w:sz w:val="24"/>
              </w:rPr>
              <w:t xml:space="preserve"> России» совместно с проведением государственной экспертизы проектной документации (и результатов инженерных изысканий) и оценки информационной модели объекта капитального строительства. При этом информационная модель должна быть выполнена в соответствии с методическими и регламентирующими документами по подготовке таких информационных моделей;</w:t>
            </w:r>
          </w:p>
          <w:p w14:paraId="0B065D0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Обеспечить доступ Заказчику к информационной модели на протяжении всего процесса разработки модели;</w:t>
            </w:r>
          </w:p>
          <w:p w14:paraId="0E2AE9CD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Перед началом работ согласовать с Заказчиком используемое программное обеспечение, в том числе отечественное, если зарубежные аналоги недоступны, и необходимые разграничения;</w:t>
            </w:r>
          </w:p>
          <w:p w14:paraId="1F58094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Перед началом работ уточнить у Заказчика требования к BIM;</w:t>
            </w:r>
          </w:p>
          <w:p w14:paraId="0F69D925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Организовать Общую среду данных для оперативного обмена отчетной документацией, просмотру, редактированию и утверждению ИМ;</w:t>
            </w:r>
          </w:p>
          <w:p w14:paraId="6ABC11D1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Общая среда данных должна обеспечивать доступ Заказчика, иных компаний, привлеченных Заказчиком и Подрядчиком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объекта и иной отчетной документации Подрядчика;</w:t>
            </w:r>
          </w:p>
          <w:p w14:paraId="4C0473A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Общая среда данных должна позволять обеспечивать различные уровни доступа к информации. Заказчик должен иметь, как минимум, права на просмотр ИМ, включая атрибутивную информацию, комментирование ИМ и скачивание исходных файлов ИМ (в целом и по частям);</w:t>
            </w:r>
          </w:p>
          <w:p w14:paraId="61D61A72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Общая среда данных должна обеспечивать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логирование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действий с целью исключения бесконтрольного изменения ИМ;</w:t>
            </w:r>
          </w:p>
          <w:p w14:paraId="6DC1718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рамках разработки информационной модели предусмотреть обмен данными в открытых (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non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proprietary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 форматах данных (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IFC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COBie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) независимых от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вендоров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программного обеспечения.</w:t>
            </w:r>
          </w:p>
        </w:tc>
      </w:tr>
      <w:tr w:rsidR="00F74945" w14:paraId="6F273074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843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C5BE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отчетности по договору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D4B9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Производить актуализацию прогресса выполнения графика работ на еженедельной основе. Предоставлять Заказчику отчетность об освоенном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объеме работ на основании актуализации графика работ на еженедельной основе;</w:t>
            </w:r>
          </w:p>
          <w:p w14:paraId="79F7C114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 позднее 10 рабочих дней с начала работ разработать и согласовать с Заказчиком структуру проектных совещаний, направленных на контроль выполнения работ по проекту, обсуждение открытых вопросов, проведения междисциплинарного рассмотрения технических решений. Обеспечить участие ответственных представителей Подрядчика в совещаниях;</w:t>
            </w:r>
          </w:p>
          <w:p w14:paraId="30B7107B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Не позднее 10 рабочих дней с начала работ разработать формат и наполнение еженедельной/ежемесячной/ежеквартальной отчетности;</w:t>
            </w:r>
          </w:p>
          <w:p w14:paraId="7A000E08" w14:textId="3D2ACC5D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Предусмотреть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участие специалистов Подрядчика в периодических совещаниях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риск-сессиях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(в т.</w:t>
            </w:r>
            <w:r w:rsidR="00606C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ч. HAZID, HAZOP), проводимых Заказчиком или иным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исполнителем, привлекаемым Заказчиком.</w:t>
            </w:r>
          </w:p>
        </w:tc>
      </w:tr>
      <w:tr w:rsidR="00F74945" w14:paraId="68E4E7B7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38B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49A5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сдачи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2A16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Подрядчик, после завершения обязательств по этапам разработки документации направляет Заказчику:</w:t>
            </w:r>
          </w:p>
          <w:p w14:paraId="6F7B849A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экземпляра документации на бумажных носителях (1 на русском и 1 на английском);</w:t>
            </w:r>
          </w:p>
          <w:p w14:paraId="709AF66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экземпляра на цифровых носителях (2 на русском языке и 2 на английском языке).</w:t>
            </w:r>
          </w:p>
          <w:p w14:paraId="03EB2A48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Предусматривается передача промежуточных (находящихся в разработке) проектных материалов по требованию заказчика по электронной почте или на мобильном носителе во время посещения проектного офиса или головного офиса Подрядчика, а также во время проведения совещаний;</w:t>
            </w:r>
          </w:p>
          <w:p w14:paraId="6FC1B870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После получения положительного заключения ФАУ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Главгосэкспертиза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России» Подрядчик предоставляет Заказчику 8 экземпляров откорректированной проект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ной документации на бумажных носителях (4 на русском языке и 4 на английском) и 6 экземпляров на цифровых носителях (3 на русском языке и 3 на английском). Дополнительные оригиналы и копии проектной документации предоставляются Подрядчиком в соответствии с условиями Контракта (Договора);</w:t>
            </w:r>
          </w:p>
          <w:p w14:paraId="75CD87F0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Техническая документация предоставляется Заказчику на согласование на русском языке. После согласования документации Заказчиком Техническая документация предоставляется также на английском языке.</w:t>
            </w:r>
          </w:p>
        </w:tc>
      </w:tr>
      <w:tr w:rsidR="00F74945" w14:paraId="4BAA3837" w14:textId="77777777" w:rsidTr="00F749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361E" w14:textId="77777777" w:rsidR="00F74945" w:rsidRDefault="00F74945" w:rsidP="00F74945">
            <w:pPr>
              <w:pStyle w:val="a7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E030" w14:textId="77777777" w:rsidR="00F74945" w:rsidRDefault="00F74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передаче материалов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4942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Комплекты электронных копий документов должны передаваться на лазерных дисках (CD-R или DVD-R), не имеющих физических повреждений и бумажных наклеек; </w:t>
            </w:r>
          </w:p>
          <w:p w14:paraId="11624F2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лицевой поверхности диска должна быть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нанесена печатным способом маркировка с указанием: наименования проектной  документации, Заказчика, Подрядчика,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 Диск должен быть защищён от записи;</w:t>
            </w:r>
          </w:p>
          <w:p w14:paraId="0384684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Комплект электронных копий документов должен иметь электронную опись вложения в формате MS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указанием номера диска, номера документа, номера редакции документа, наименования документа, наименований файлов, соответствующих документу; </w:t>
            </w:r>
            <w:proofErr w:type="gramEnd"/>
          </w:p>
          <w:p w14:paraId="09A08FEF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Текстовые материалы должны быть представлены в формате MS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Word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2010, графические материалы (чертежи) с подписями разработчика в исходном формате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AutoCAD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AdobeReader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pdf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); </w:t>
            </w:r>
          </w:p>
          <w:p w14:paraId="6FBE8323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Вся отчетная документация в электронном виде должна быть так же предоставлена в формате PDF едиными томами (книгами), содержащими титульные листы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синими подписями и печатями.</w:t>
            </w:r>
          </w:p>
          <w:p w14:paraId="7AB9C235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 и содержание диска должно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14:paraId="435C6C0E" w14:textId="77777777" w:rsidR="00F74945" w:rsidRDefault="00F74945" w:rsidP="00F74945">
            <w:pPr>
              <w:pStyle w:val="a7"/>
              <w:numPr>
                <w:ilvl w:val="1"/>
                <w:numId w:val="32"/>
              </w:numPr>
              <w:suppressAutoHyphens/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Файлы должны нормально открываться в режиме просмотра средствами операционной системы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2000/XP/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Vista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/7/10.</w:t>
            </w:r>
          </w:p>
        </w:tc>
      </w:tr>
    </w:tbl>
    <w:p w14:paraId="5C3B7BBB" w14:textId="77777777" w:rsidR="00F74945" w:rsidRDefault="00F74945" w:rsidP="00F749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14D52A" w14:textId="77777777" w:rsidR="00D12FD1" w:rsidRPr="00D00881" w:rsidRDefault="00D12FD1" w:rsidP="00272E9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2266"/>
        <w:gridCol w:w="2799"/>
      </w:tblGrid>
      <w:tr w:rsidR="0034628C" w:rsidRPr="00CB7504" w14:paraId="6751BCBC" w14:textId="77777777" w:rsidTr="004152F8">
        <w:tc>
          <w:tcPr>
            <w:tcW w:w="4680" w:type="dxa"/>
          </w:tcPr>
          <w:p w14:paraId="422564BF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04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РАЗРАБОТАЛ:</w:t>
            </w:r>
          </w:p>
          <w:p w14:paraId="2F96D2C6" w14:textId="1505B166" w:rsidR="0034628C" w:rsidRPr="00CB7504" w:rsidRDefault="00D42376" w:rsidP="00D423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504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2266" w:type="dxa"/>
          </w:tcPr>
          <w:p w14:paraId="4820B22C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vAlign w:val="bottom"/>
          </w:tcPr>
          <w:p w14:paraId="29601D53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8C" w:rsidRPr="00CB7504" w14:paraId="642BE579" w14:textId="77777777" w:rsidTr="004152F8">
        <w:tc>
          <w:tcPr>
            <w:tcW w:w="4680" w:type="dxa"/>
          </w:tcPr>
          <w:p w14:paraId="45C2725B" w14:textId="77777777" w:rsidR="0034628C" w:rsidRPr="00CB7504" w:rsidRDefault="0034628C" w:rsidP="004152F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B7504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</w:tc>
        <w:tc>
          <w:tcPr>
            <w:tcW w:w="2266" w:type="dxa"/>
          </w:tcPr>
          <w:p w14:paraId="4FA9E2C7" w14:textId="77777777" w:rsidR="0034628C" w:rsidRPr="00CB7504" w:rsidRDefault="0034628C" w:rsidP="004152F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436DBE57" w14:textId="77777777" w:rsidR="0034628C" w:rsidRPr="00CB7504" w:rsidRDefault="0034628C" w:rsidP="004152F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8C" w:rsidRPr="00CB7504" w14:paraId="4B0E4337" w14:textId="77777777" w:rsidTr="004152F8">
        <w:tc>
          <w:tcPr>
            <w:tcW w:w="4680" w:type="dxa"/>
          </w:tcPr>
          <w:p w14:paraId="030F32F2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7922152C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2B934016" w14:textId="7D7F0F4F" w:rsidR="0034628C" w:rsidRPr="00CB7504" w:rsidRDefault="0034628C" w:rsidP="0034628C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Виноградова  </w:t>
            </w:r>
          </w:p>
        </w:tc>
      </w:tr>
      <w:tr w:rsidR="0034628C" w:rsidRPr="00CB7504" w14:paraId="58EC57FC" w14:textId="77777777" w:rsidTr="004152F8">
        <w:tc>
          <w:tcPr>
            <w:tcW w:w="4680" w:type="dxa"/>
          </w:tcPr>
          <w:p w14:paraId="7D3569CC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0528A8A1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03D9E329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8C" w:rsidRPr="00CB7504" w14:paraId="4AD113B1" w14:textId="77777777" w:rsidTr="004152F8">
        <w:tc>
          <w:tcPr>
            <w:tcW w:w="4680" w:type="dxa"/>
          </w:tcPr>
          <w:p w14:paraId="7DF8524F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04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СОГЛАСОВАЛ:</w:t>
            </w:r>
          </w:p>
        </w:tc>
        <w:tc>
          <w:tcPr>
            <w:tcW w:w="2266" w:type="dxa"/>
          </w:tcPr>
          <w:p w14:paraId="3A7A92E4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0B6207C7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8C" w:rsidRPr="00CB7504" w14:paraId="47508A6F" w14:textId="77777777" w:rsidTr="004152F8">
        <w:tc>
          <w:tcPr>
            <w:tcW w:w="4680" w:type="dxa"/>
          </w:tcPr>
          <w:p w14:paraId="489A2B85" w14:textId="77777777" w:rsidR="00D42376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504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="00D42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B358BD" w14:textId="5D8471F2" w:rsidR="0034628C" w:rsidRPr="00CB7504" w:rsidRDefault="00D42376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504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="0034628C" w:rsidRPr="00CB7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6" w:type="dxa"/>
          </w:tcPr>
          <w:p w14:paraId="4A600182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vAlign w:val="bottom"/>
          </w:tcPr>
          <w:p w14:paraId="6026B091" w14:textId="77777777" w:rsidR="0034628C" w:rsidRPr="00CB7504" w:rsidRDefault="0034628C" w:rsidP="00415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8C" w:rsidRPr="00CB7504" w14:paraId="3855AF3B" w14:textId="77777777" w:rsidTr="004152F8">
        <w:tc>
          <w:tcPr>
            <w:tcW w:w="4680" w:type="dxa"/>
          </w:tcPr>
          <w:p w14:paraId="717E38D0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1256856B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1C49051B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504">
              <w:rPr>
                <w:rFonts w:ascii="Times New Roman" w:hAnsi="Times New Roman" w:cs="Times New Roman"/>
                <w:sz w:val="24"/>
                <w:szCs w:val="24"/>
              </w:rPr>
              <w:t>А.А. Терновой</w:t>
            </w:r>
          </w:p>
        </w:tc>
      </w:tr>
      <w:tr w:rsidR="0034628C" w:rsidRPr="00CB7504" w14:paraId="4257ECB1" w14:textId="77777777" w:rsidTr="004152F8">
        <w:tc>
          <w:tcPr>
            <w:tcW w:w="4680" w:type="dxa"/>
          </w:tcPr>
          <w:p w14:paraId="4A303CC8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7989009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72DA78C4" w14:textId="77777777" w:rsidR="0034628C" w:rsidRPr="00CB7504" w:rsidRDefault="0034628C" w:rsidP="004152F8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721117" w14:textId="77777777" w:rsidR="008400DE" w:rsidRPr="00D00881" w:rsidRDefault="008400DE" w:rsidP="00D423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400DE" w:rsidRPr="00D00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zimirText">
    <w:altName w:val="Calibri"/>
    <w:panose1 w:val="00000000000000000000"/>
    <w:charset w:val="00"/>
    <w:family w:val="roman"/>
    <w:notTrueType/>
    <w:pitch w:val="variable"/>
    <w:sig w:usb0="20000207" w:usb1="00000002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525"/>
    <w:multiLevelType w:val="hybridMultilevel"/>
    <w:tmpl w:val="072A4D4A"/>
    <w:lvl w:ilvl="0" w:tplc="F19C86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6C5FAF"/>
    <w:multiLevelType w:val="hybridMultilevel"/>
    <w:tmpl w:val="0E401364"/>
    <w:lvl w:ilvl="0" w:tplc="529ECD2E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A6E3E39"/>
    <w:multiLevelType w:val="hybridMultilevel"/>
    <w:tmpl w:val="7D3852E8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>
    <w:nsid w:val="12F85CA9"/>
    <w:multiLevelType w:val="hybridMultilevel"/>
    <w:tmpl w:val="E97262A8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13706B40"/>
    <w:multiLevelType w:val="multilevel"/>
    <w:tmpl w:val="CBC4CC7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A864E50"/>
    <w:multiLevelType w:val="hybridMultilevel"/>
    <w:tmpl w:val="206C2F16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22001E35"/>
    <w:multiLevelType w:val="hybridMultilevel"/>
    <w:tmpl w:val="7DBAC46A"/>
    <w:lvl w:ilvl="0" w:tplc="C0EA4C6E">
      <w:start w:val="17"/>
      <w:numFmt w:val="bullet"/>
      <w:lvlText w:val="•"/>
      <w:lvlJc w:val="left"/>
      <w:pPr>
        <w:ind w:left="709" w:hanging="6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22F256C0"/>
    <w:multiLevelType w:val="hybridMultilevel"/>
    <w:tmpl w:val="89342A32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24CE2DA6"/>
    <w:multiLevelType w:val="hybridMultilevel"/>
    <w:tmpl w:val="02BEA2CE"/>
    <w:lvl w:ilvl="0" w:tplc="529ECD2E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74A7FD8"/>
    <w:multiLevelType w:val="hybridMultilevel"/>
    <w:tmpl w:val="6AF220A2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0">
    <w:nsid w:val="28DC3094"/>
    <w:multiLevelType w:val="multilevel"/>
    <w:tmpl w:val="BFAA72E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A6A6367"/>
    <w:multiLevelType w:val="hybridMultilevel"/>
    <w:tmpl w:val="B5F6433E"/>
    <w:lvl w:ilvl="0" w:tplc="B7941908">
      <w:start w:val="17"/>
      <w:numFmt w:val="bullet"/>
      <w:lvlText w:val="•"/>
      <w:lvlJc w:val="left"/>
      <w:pPr>
        <w:ind w:left="709" w:hanging="6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>
    <w:nsid w:val="324373D3"/>
    <w:multiLevelType w:val="multilevel"/>
    <w:tmpl w:val="8D3255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3B01BEE"/>
    <w:multiLevelType w:val="hybridMultilevel"/>
    <w:tmpl w:val="213092F6"/>
    <w:lvl w:ilvl="0" w:tplc="529ECD2E">
      <w:start w:val="1"/>
      <w:numFmt w:val="bullet"/>
      <w:lvlText w:val="–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>
    <w:nsid w:val="33D361E8"/>
    <w:multiLevelType w:val="hybridMultilevel"/>
    <w:tmpl w:val="A2820010"/>
    <w:lvl w:ilvl="0" w:tplc="529ECD2E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3AA2087A"/>
    <w:multiLevelType w:val="hybridMultilevel"/>
    <w:tmpl w:val="F8EC2362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447D4466"/>
    <w:multiLevelType w:val="multilevel"/>
    <w:tmpl w:val="0C06C384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2CC3231"/>
    <w:multiLevelType w:val="hybridMultilevel"/>
    <w:tmpl w:val="7480F1B6"/>
    <w:lvl w:ilvl="0" w:tplc="E43C76BC">
      <w:start w:val="17"/>
      <w:numFmt w:val="bullet"/>
      <w:lvlText w:val="•"/>
      <w:lvlJc w:val="left"/>
      <w:pPr>
        <w:ind w:left="709" w:hanging="6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>
    <w:nsid w:val="53F06316"/>
    <w:multiLevelType w:val="hybridMultilevel"/>
    <w:tmpl w:val="E44E38D4"/>
    <w:lvl w:ilvl="0" w:tplc="529ECD2E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543700B4"/>
    <w:multiLevelType w:val="hybridMultilevel"/>
    <w:tmpl w:val="0900B11A"/>
    <w:lvl w:ilvl="0" w:tplc="529ECD2E">
      <w:start w:val="1"/>
      <w:numFmt w:val="bullet"/>
      <w:lvlText w:val="–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0">
    <w:nsid w:val="560842E0"/>
    <w:multiLevelType w:val="hybridMultilevel"/>
    <w:tmpl w:val="A81253CE"/>
    <w:lvl w:ilvl="0" w:tplc="529ECD2E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56E9017B"/>
    <w:multiLevelType w:val="multilevel"/>
    <w:tmpl w:val="CBC4CC7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599335F4"/>
    <w:multiLevelType w:val="hybridMultilevel"/>
    <w:tmpl w:val="131ECD04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66325"/>
    <w:multiLevelType w:val="hybridMultilevel"/>
    <w:tmpl w:val="ABF8B2E4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4">
    <w:nsid w:val="63F75511"/>
    <w:multiLevelType w:val="hybridMultilevel"/>
    <w:tmpl w:val="02FE0344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5">
    <w:nsid w:val="64CE7916"/>
    <w:multiLevelType w:val="hybridMultilevel"/>
    <w:tmpl w:val="7EE6B46E"/>
    <w:lvl w:ilvl="0" w:tplc="529ECD2E">
      <w:start w:val="1"/>
      <w:numFmt w:val="bullet"/>
      <w:lvlText w:val="–"/>
      <w:lvlJc w:val="left"/>
      <w:pPr>
        <w:ind w:left="15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6A464480"/>
    <w:multiLevelType w:val="hybridMultilevel"/>
    <w:tmpl w:val="AE8A81A0"/>
    <w:lvl w:ilvl="0" w:tplc="529ECD2E">
      <w:start w:val="1"/>
      <w:numFmt w:val="bullet"/>
      <w:lvlText w:val="–"/>
      <w:lvlJc w:val="left"/>
      <w:pPr>
        <w:ind w:left="709" w:hanging="67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D314C13"/>
    <w:multiLevelType w:val="multilevel"/>
    <w:tmpl w:val="CBC4CC7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2B85E44"/>
    <w:multiLevelType w:val="hybridMultilevel"/>
    <w:tmpl w:val="29C25F36"/>
    <w:lvl w:ilvl="0" w:tplc="C0EA4C6E">
      <w:start w:val="17"/>
      <w:numFmt w:val="bullet"/>
      <w:lvlText w:val="•"/>
      <w:lvlJc w:val="left"/>
      <w:pPr>
        <w:ind w:left="743" w:hanging="6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765443E2"/>
    <w:multiLevelType w:val="hybridMultilevel"/>
    <w:tmpl w:val="12FCD1FE"/>
    <w:lvl w:ilvl="0" w:tplc="529ECD2E">
      <w:start w:val="1"/>
      <w:numFmt w:val="bullet"/>
      <w:lvlText w:val="–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>
    <w:nsid w:val="7A7C3FBB"/>
    <w:multiLevelType w:val="hybridMultilevel"/>
    <w:tmpl w:val="3C9CA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1"/>
  </w:num>
  <w:num w:numId="4">
    <w:abstractNumId w:val="12"/>
  </w:num>
  <w:num w:numId="5">
    <w:abstractNumId w:val="10"/>
  </w:num>
  <w:num w:numId="6">
    <w:abstractNumId w:val="23"/>
  </w:num>
  <w:num w:numId="7">
    <w:abstractNumId w:val="16"/>
  </w:num>
  <w:num w:numId="8">
    <w:abstractNumId w:val="29"/>
  </w:num>
  <w:num w:numId="9">
    <w:abstractNumId w:val="19"/>
  </w:num>
  <w:num w:numId="10">
    <w:abstractNumId w:val="13"/>
  </w:num>
  <w:num w:numId="11">
    <w:abstractNumId w:val="0"/>
  </w:num>
  <w:num w:numId="12">
    <w:abstractNumId w:val="3"/>
  </w:num>
  <w:num w:numId="13">
    <w:abstractNumId w:val="7"/>
  </w:num>
  <w:num w:numId="14">
    <w:abstractNumId w:val="2"/>
  </w:num>
  <w:num w:numId="15">
    <w:abstractNumId w:val="5"/>
  </w:num>
  <w:num w:numId="16">
    <w:abstractNumId w:val="15"/>
  </w:num>
  <w:num w:numId="17">
    <w:abstractNumId w:val="24"/>
  </w:num>
  <w:num w:numId="18">
    <w:abstractNumId w:val="9"/>
  </w:num>
  <w:num w:numId="19">
    <w:abstractNumId w:val="27"/>
  </w:num>
  <w:num w:numId="20">
    <w:abstractNumId w:val="18"/>
  </w:num>
  <w:num w:numId="21">
    <w:abstractNumId w:val="17"/>
  </w:num>
  <w:num w:numId="22">
    <w:abstractNumId w:val="20"/>
  </w:num>
  <w:num w:numId="23">
    <w:abstractNumId w:val="11"/>
  </w:num>
  <w:num w:numId="24">
    <w:abstractNumId w:val="14"/>
  </w:num>
  <w:num w:numId="25">
    <w:abstractNumId w:val="6"/>
  </w:num>
  <w:num w:numId="26">
    <w:abstractNumId w:val="28"/>
  </w:num>
  <w:num w:numId="27">
    <w:abstractNumId w:val="26"/>
  </w:num>
  <w:num w:numId="28">
    <w:abstractNumId w:val="8"/>
  </w:num>
  <w:num w:numId="29">
    <w:abstractNumId w:val="21"/>
  </w:num>
  <w:num w:numId="30">
    <w:abstractNumId w:val="25"/>
  </w:num>
  <w:num w:numId="31">
    <w:abstractNumId w:val="22"/>
  </w:num>
  <w:num w:numId="32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C90"/>
    <w:rsid w:val="00093D7C"/>
    <w:rsid w:val="000D0579"/>
    <w:rsid w:val="00161E8E"/>
    <w:rsid w:val="00167380"/>
    <w:rsid w:val="001E17EB"/>
    <w:rsid w:val="00227F05"/>
    <w:rsid w:val="002723FF"/>
    <w:rsid w:val="00272E9D"/>
    <w:rsid w:val="00291865"/>
    <w:rsid w:val="002C068E"/>
    <w:rsid w:val="00337A52"/>
    <w:rsid w:val="0034628C"/>
    <w:rsid w:val="00372C9B"/>
    <w:rsid w:val="003D7C2C"/>
    <w:rsid w:val="00416B1F"/>
    <w:rsid w:val="00431C0E"/>
    <w:rsid w:val="004519E7"/>
    <w:rsid w:val="00461E1E"/>
    <w:rsid w:val="004B2F8B"/>
    <w:rsid w:val="004B5C90"/>
    <w:rsid w:val="0058277E"/>
    <w:rsid w:val="005D0EFA"/>
    <w:rsid w:val="005D59E7"/>
    <w:rsid w:val="005D7276"/>
    <w:rsid w:val="005E1192"/>
    <w:rsid w:val="005E4A7E"/>
    <w:rsid w:val="00606C6C"/>
    <w:rsid w:val="00640FAC"/>
    <w:rsid w:val="006B03D0"/>
    <w:rsid w:val="006B6B26"/>
    <w:rsid w:val="006F33F2"/>
    <w:rsid w:val="0075360A"/>
    <w:rsid w:val="0078556A"/>
    <w:rsid w:val="00814E8B"/>
    <w:rsid w:val="008400DE"/>
    <w:rsid w:val="00857C92"/>
    <w:rsid w:val="00874234"/>
    <w:rsid w:val="00884E32"/>
    <w:rsid w:val="008A11A5"/>
    <w:rsid w:val="00976AA2"/>
    <w:rsid w:val="009B32BC"/>
    <w:rsid w:val="009B50C7"/>
    <w:rsid w:val="009C7110"/>
    <w:rsid w:val="009D5DCB"/>
    <w:rsid w:val="009F3BD5"/>
    <w:rsid w:val="00AB2FBE"/>
    <w:rsid w:val="00AD42FC"/>
    <w:rsid w:val="00AF4088"/>
    <w:rsid w:val="00B00FC0"/>
    <w:rsid w:val="00B02016"/>
    <w:rsid w:val="00BB0683"/>
    <w:rsid w:val="00CB5A9A"/>
    <w:rsid w:val="00CC5E95"/>
    <w:rsid w:val="00CE5F5B"/>
    <w:rsid w:val="00D00881"/>
    <w:rsid w:val="00D017E9"/>
    <w:rsid w:val="00D12FD1"/>
    <w:rsid w:val="00D42376"/>
    <w:rsid w:val="00D56CCE"/>
    <w:rsid w:val="00D6393F"/>
    <w:rsid w:val="00DB6F91"/>
    <w:rsid w:val="00E5212F"/>
    <w:rsid w:val="00E956DC"/>
    <w:rsid w:val="00EC353E"/>
    <w:rsid w:val="00ED155E"/>
    <w:rsid w:val="00F13D5F"/>
    <w:rsid w:val="00F74945"/>
    <w:rsid w:val="00F80201"/>
    <w:rsid w:val="00F90939"/>
    <w:rsid w:val="00FC603F"/>
    <w:rsid w:val="00FF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C7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1E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Bullet List,FooterText,numbered,Маркер,Абзац маркированнный,Абзац2,Абзац 2,1,UL,Figures,Bullet_IRAO,Мой Список,List Paragraph,Абзац списка2,List Paragraph1,Абзац списка - заголовок 3,Абзац списка11,основной диплом,фото,Начало абзаца"/>
    <w:basedOn w:val="a2"/>
    <w:link w:val="a8"/>
    <w:uiPriority w:val="34"/>
    <w:qFormat/>
    <w:rsid w:val="001E17EB"/>
    <w:pPr>
      <w:ind w:left="720"/>
      <w:contextualSpacing/>
    </w:pPr>
  </w:style>
  <w:style w:type="paragraph" w:customStyle="1" w:styleId="a">
    <w:name w:val="Раздел задания"/>
    <w:basedOn w:val="a2"/>
    <w:qFormat/>
    <w:rsid w:val="009B32BC"/>
    <w:pPr>
      <w:numPr>
        <w:numId w:val="7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0">
    <w:name w:val="Пункт раздела задания"/>
    <w:basedOn w:val="a2"/>
    <w:link w:val="a9"/>
    <w:qFormat/>
    <w:rsid w:val="009B32BC"/>
    <w:pPr>
      <w:numPr>
        <w:ilvl w:val="1"/>
        <w:numId w:val="7"/>
      </w:numPr>
      <w:spacing w:before="120" w:after="0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1">
    <w:name w:val="Подпункт раздела задания"/>
    <w:basedOn w:val="a2"/>
    <w:qFormat/>
    <w:rsid w:val="009B32BC"/>
    <w:pPr>
      <w:numPr>
        <w:ilvl w:val="2"/>
        <w:numId w:val="7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Пункт раздела задания Знак"/>
    <w:basedOn w:val="a3"/>
    <w:link w:val="a0"/>
    <w:rsid w:val="009B32BC"/>
    <w:rPr>
      <w:rFonts w:ascii="Times New Roman" w:hAnsi="Times New Roman"/>
      <w:sz w:val="24"/>
      <w:szCs w:val="24"/>
    </w:rPr>
  </w:style>
  <w:style w:type="paragraph" w:styleId="aa">
    <w:name w:val="Balloon Text"/>
    <w:basedOn w:val="a2"/>
    <w:link w:val="ab"/>
    <w:uiPriority w:val="99"/>
    <w:semiHidden/>
    <w:unhideWhenUsed/>
    <w:rsid w:val="00D63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D6393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4"/>
    <w:uiPriority w:val="59"/>
    <w:rsid w:val="00840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Bullet List Знак,FooterText Знак,numbered Знак,Маркер Знак,Абзац маркированнный Знак,Абзац2 Знак,Абзац 2 Знак,1 Знак,UL Знак,Figures Знак,Bullet_IRAO Знак,Мой Список Знак,List Paragraph Знак,Абзац списка2 Знак,List Paragraph1 Знак"/>
    <w:link w:val="a7"/>
    <w:uiPriority w:val="34"/>
    <w:rsid w:val="008400DE"/>
  </w:style>
  <w:style w:type="character" w:styleId="ac">
    <w:name w:val="annotation reference"/>
    <w:basedOn w:val="a3"/>
    <w:uiPriority w:val="99"/>
    <w:semiHidden/>
    <w:unhideWhenUsed/>
    <w:rsid w:val="00CE5F5B"/>
    <w:rPr>
      <w:sz w:val="16"/>
      <w:szCs w:val="16"/>
    </w:rPr>
  </w:style>
  <w:style w:type="paragraph" w:styleId="ad">
    <w:name w:val="annotation text"/>
    <w:basedOn w:val="a2"/>
    <w:link w:val="ae"/>
    <w:uiPriority w:val="99"/>
    <w:semiHidden/>
    <w:unhideWhenUsed/>
    <w:rsid w:val="00CE5F5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CE5F5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E5F5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E5F5B"/>
    <w:rPr>
      <w:b/>
      <w:bCs/>
      <w:sz w:val="20"/>
      <w:szCs w:val="20"/>
    </w:rPr>
  </w:style>
  <w:style w:type="paragraph" w:customStyle="1" w:styleId="af1">
    <w:name w:val="Таблица_Строка"/>
    <w:basedOn w:val="a2"/>
    <w:rsid w:val="0034628C"/>
    <w:pPr>
      <w:spacing w:before="120"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FontStyle35">
    <w:name w:val="Font Style35"/>
    <w:rsid w:val="00F74945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1E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Bullet List,FooterText,numbered,Маркер,Абзац маркированнный,Абзац2,Абзац 2,1,UL,Figures,Bullet_IRAO,Мой Список,List Paragraph,Абзац списка2,List Paragraph1,Абзац списка - заголовок 3,Абзац списка11,основной диплом,фото,Начало абзаца"/>
    <w:basedOn w:val="a2"/>
    <w:link w:val="a8"/>
    <w:uiPriority w:val="34"/>
    <w:qFormat/>
    <w:rsid w:val="001E17EB"/>
    <w:pPr>
      <w:ind w:left="720"/>
      <w:contextualSpacing/>
    </w:pPr>
  </w:style>
  <w:style w:type="paragraph" w:customStyle="1" w:styleId="a">
    <w:name w:val="Раздел задания"/>
    <w:basedOn w:val="a2"/>
    <w:qFormat/>
    <w:rsid w:val="009B32BC"/>
    <w:pPr>
      <w:numPr>
        <w:numId w:val="7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0">
    <w:name w:val="Пункт раздела задания"/>
    <w:basedOn w:val="a2"/>
    <w:link w:val="a9"/>
    <w:qFormat/>
    <w:rsid w:val="009B32BC"/>
    <w:pPr>
      <w:numPr>
        <w:ilvl w:val="1"/>
        <w:numId w:val="7"/>
      </w:numPr>
      <w:spacing w:before="120" w:after="0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1">
    <w:name w:val="Подпункт раздела задания"/>
    <w:basedOn w:val="a2"/>
    <w:qFormat/>
    <w:rsid w:val="009B32BC"/>
    <w:pPr>
      <w:numPr>
        <w:ilvl w:val="2"/>
        <w:numId w:val="7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Пункт раздела задания Знак"/>
    <w:basedOn w:val="a3"/>
    <w:link w:val="a0"/>
    <w:rsid w:val="009B32BC"/>
    <w:rPr>
      <w:rFonts w:ascii="Times New Roman" w:hAnsi="Times New Roman"/>
      <w:sz w:val="24"/>
      <w:szCs w:val="24"/>
    </w:rPr>
  </w:style>
  <w:style w:type="paragraph" w:styleId="aa">
    <w:name w:val="Balloon Text"/>
    <w:basedOn w:val="a2"/>
    <w:link w:val="ab"/>
    <w:uiPriority w:val="99"/>
    <w:semiHidden/>
    <w:unhideWhenUsed/>
    <w:rsid w:val="00D63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rsid w:val="00D6393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4"/>
    <w:uiPriority w:val="59"/>
    <w:rsid w:val="00840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Bullet List Знак,FooterText Знак,numbered Знак,Маркер Знак,Абзац маркированнный Знак,Абзац2 Знак,Абзац 2 Знак,1 Знак,UL Знак,Figures Знак,Bullet_IRAO Знак,Мой Список Знак,List Paragraph Знак,Абзац списка2 Знак,List Paragraph1 Знак"/>
    <w:link w:val="a7"/>
    <w:uiPriority w:val="34"/>
    <w:rsid w:val="008400DE"/>
  </w:style>
  <w:style w:type="character" w:styleId="ac">
    <w:name w:val="annotation reference"/>
    <w:basedOn w:val="a3"/>
    <w:uiPriority w:val="99"/>
    <w:semiHidden/>
    <w:unhideWhenUsed/>
    <w:rsid w:val="00CE5F5B"/>
    <w:rPr>
      <w:sz w:val="16"/>
      <w:szCs w:val="16"/>
    </w:rPr>
  </w:style>
  <w:style w:type="paragraph" w:styleId="ad">
    <w:name w:val="annotation text"/>
    <w:basedOn w:val="a2"/>
    <w:link w:val="ae"/>
    <w:uiPriority w:val="99"/>
    <w:semiHidden/>
    <w:unhideWhenUsed/>
    <w:rsid w:val="00CE5F5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CE5F5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E5F5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E5F5B"/>
    <w:rPr>
      <w:b/>
      <w:bCs/>
      <w:sz w:val="20"/>
      <w:szCs w:val="20"/>
    </w:rPr>
  </w:style>
  <w:style w:type="paragraph" w:customStyle="1" w:styleId="af1">
    <w:name w:val="Таблица_Строка"/>
    <w:basedOn w:val="a2"/>
    <w:rsid w:val="0034628C"/>
    <w:pPr>
      <w:spacing w:before="120"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FontStyle35">
    <w:name w:val="Font Style35"/>
    <w:rsid w:val="00F74945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3599</Words>
  <Characters>20519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 Егор Михайлович</dc:creator>
  <cp:lastModifiedBy>Козаренко Татьяна Дмитриевна</cp:lastModifiedBy>
  <cp:revision>22</cp:revision>
  <cp:lastPrinted>2021-09-20T10:31:00Z</cp:lastPrinted>
  <dcterms:created xsi:type="dcterms:W3CDTF">2023-02-09T08:00:00Z</dcterms:created>
  <dcterms:modified xsi:type="dcterms:W3CDTF">2023-02-10T12:56:00Z</dcterms:modified>
</cp:coreProperties>
</file>